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7A69EA">
        <w:rPr>
          <w:rFonts w:ascii="Arial" w:hAnsi="Arial" w:cs="Arial"/>
          <w:sz w:val="24"/>
        </w:rPr>
        <w:t>May 15</w:t>
      </w:r>
      <w:r w:rsidR="008302C8">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8302C8">
        <w:rPr>
          <w:rFonts w:ascii="Arial" w:hAnsi="Arial" w:cs="Arial"/>
          <w:sz w:val="24"/>
        </w:rPr>
        <w:t>Committee Room B</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8302C8">
        <w:rPr>
          <w:rFonts w:ascii="Arial" w:hAnsi="Arial" w:cs="Arial"/>
          <w:sz w:val="24"/>
        </w:rPr>
        <w:t>9:00 a.m.</w:t>
      </w: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8302C8">
        <w:rPr>
          <w:rFonts w:ascii="Arial" w:hAnsi="Arial" w:cs="Arial"/>
          <w:sz w:val="24"/>
        </w:rPr>
        <w:t xml:space="preserve">Mr. </w:t>
      </w:r>
      <w:proofErr w:type="spellStart"/>
      <w:r w:rsidR="007A69EA">
        <w:rPr>
          <w:rFonts w:ascii="Arial" w:hAnsi="Arial" w:cs="Arial"/>
          <w:sz w:val="24"/>
        </w:rPr>
        <w:t>Asit</w:t>
      </w:r>
      <w:proofErr w:type="spellEnd"/>
      <w:r w:rsidR="007A69EA">
        <w:rPr>
          <w:rFonts w:ascii="Arial" w:hAnsi="Arial" w:cs="Arial"/>
          <w:sz w:val="24"/>
        </w:rPr>
        <w:t xml:space="preserve"> Sarkar</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8302C8">
        <w:rPr>
          <w:rFonts w:ascii="Arial" w:hAnsi="Arial" w:cs="Arial"/>
          <w:sz w:val="24"/>
        </w:rPr>
        <w:t xml:space="preserve">Mr. </w:t>
      </w:r>
      <w:r w:rsidR="007A69EA">
        <w:rPr>
          <w:rFonts w:ascii="Arial" w:hAnsi="Arial" w:cs="Arial"/>
          <w:sz w:val="24"/>
        </w:rPr>
        <w:t>June Bold</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8302C8">
        <w:rPr>
          <w:rFonts w:ascii="Arial" w:hAnsi="Arial" w:cs="Arial"/>
          <w:sz w:val="24"/>
        </w:rPr>
        <w:t xml:space="preserve">Mr. </w:t>
      </w:r>
      <w:r w:rsidR="007A69EA">
        <w:rPr>
          <w:rFonts w:ascii="Arial" w:hAnsi="Arial" w:cs="Arial"/>
          <w:sz w:val="24"/>
        </w:rPr>
        <w:t xml:space="preserve">Randy </w:t>
      </w:r>
      <w:proofErr w:type="spellStart"/>
      <w:r w:rsidR="007A69EA">
        <w:rPr>
          <w:rFonts w:ascii="Arial" w:hAnsi="Arial" w:cs="Arial"/>
          <w:sz w:val="24"/>
        </w:rPr>
        <w:t>Pangborn</w:t>
      </w:r>
      <w:proofErr w:type="spellEnd"/>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8302C8">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7A69EA">
        <w:rPr>
          <w:rFonts w:ascii="Arial" w:hAnsi="Arial" w:cs="Arial"/>
          <w:b/>
          <w:sz w:val="24"/>
        </w:rPr>
        <w:t>66</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7A69EA">
        <w:rPr>
          <w:rFonts w:ascii="Arial" w:hAnsi="Arial" w:cs="Arial"/>
          <w:b/>
          <w:sz w:val="24"/>
        </w:rPr>
        <w:t>302 – 505 12</w:t>
      </w:r>
      <w:r w:rsidR="007A69EA" w:rsidRPr="007A69EA">
        <w:rPr>
          <w:rFonts w:ascii="Arial" w:hAnsi="Arial" w:cs="Arial"/>
          <w:b/>
          <w:sz w:val="24"/>
          <w:vertAlign w:val="superscript"/>
        </w:rPr>
        <w:t>th</w:t>
      </w:r>
      <w:r w:rsidR="007A69EA">
        <w:rPr>
          <w:rFonts w:ascii="Arial" w:hAnsi="Arial" w:cs="Arial"/>
          <w:b/>
          <w:sz w:val="24"/>
        </w:rPr>
        <w:t xml:space="preserve"> Street East</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7A69EA">
        <w:rPr>
          <w:rFonts w:ascii="Arial" w:hAnsi="Arial" w:cs="Arial"/>
          <w:b/>
          <w:sz w:val="24"/>
        </w:rPr>
        <w:t>135635384</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7A69EA">
        <w:rPr>
          <w:rFonts w:ascii="Arial" w:hAnsi="Arial" w:cs="Arial"/>
          <w:b/>
          <w:sz w:val="24"/>
          <w:u w:val="single"/>
        </w:rPr>
        <w:t>515005155</w:t>
      </w:r>
      <w:r w:rsidRPr="00D66EB8">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Pr="00D66EB8" w:rsidRDefault="00A92001">
      <w:pPr>
        <w:rPr>
          <w:rFonts w:ascii="Arial" w:hAnsi="Arial" w:cs="Arial"/>
          <w:sz w:val="24"/>
        </w:rPr>
      </w:pPr>
      <w:r>
        <w:rPr>
          <w:rFonts w:ascii="Arial" w:hAnsi="Arial" w:cs="Arial"/>
          <w:sz w:val="24"/>
        </w:rPr>
        <w:t xml:space="preserve">Mr. </w:t>
      </w:r>
      <w:r w:rsidR="007A69EA">
        <w:rPr>
          <w:rFonts w:ascii="Arial" w:hAnsi="Arial" w:cs="Arial"/>
          <w:sz w:val="24"/>
        </w:rPr>
        <w:t>Peter Coad</w:t>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2776A4" w:rsidRPr="002776A4" w:rsidRDefault="002776A4" w:rsidP="002776A4">
      <w:pPr>
        <w:tabs>
          <w:tab w:val="left" w:pos="0"/>
        </w:tabs>
        <w:ind w:left="2880" w:hanging="2880"/>
        <w:rPr>
          <w:rFonts w:ascii="Arial" w:hAnsi="Arial" w:cs="Arial"/>
          <w:sz w:val="24"/>
        </w:rPr>
      </w:pPr>
      <w:r w:rsidRPr="002776A4">
        <w:rPr>
          <w:rFonts w:ascii="Arial" w:hAnsi="Arial" w:cs="Arial"/>
          <w:sz w:val="24"/>
        </w:rPr>
        <w:t>Mr. Randy McKay, Senior Assessment Appraiser,</w:t>
      </w:r>
      <w:r>
        <w:rPr>
          <w:rFonts w:ascii="Arial" w:hAnsi="Arial" w:cs="Arial"/>
          <w:sz w:val="24"/>
        </w:rPr>
        <w:t xml:space="preserve"> </w:t>
      </w:r>
      <w:r w:rsidRPr="002776A4">
        <w:rPr>
          <w:rFonts w:ascii="Arial" w:hAnsi="Arial" w:cs="Arial"/>
          <w:sz w:val="24"/>
        </w:rPr>
        <w:t>Assessment and Taxation</w:t>
      </w:r>
      <w:r w:rsidR="00D13349">
        <w:rPr>
          <w:rFonts w:ascii="Arial" w:hAnsi="Arial" w:cs="Arial"/>
          <w:sz w:val="24"/>
        </w:rPr>
        <w:t xml:space="preserve"> (Advocate)</w:t>
      </w:r>
    </w:p>
    <w:p w:rsidR="002776A4" w:rsidRPr="002776A4" w:rsidRDefault="002776A4" w:rsidP="002776A4">
      <w:pPr>
        <w:rPr>
          <w:rFonts w:ascii="Arial" w:hAnsi="Arial" w:cs="Arial"/>
          <w:sz w:val="24"/>
        </w:rPr>
      </w:pPr>
      <w:r w:rsidRPr="002776A4">
        <w:rPr>
          <w:rFonts w:ascii="Arial" w:hAnsi="Arial" w:cs="Arial"/>
          <w:sz w:val="24"/>
        </w:rPr>
        <w:t>Ms. JoAnn Baraniecki, Assessment Appraiser, Assessment and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7A69EA" w:rsidRDefault="007A69EA" w:rsidP="007A69EA">
      <w:pPr>
        <w:pStyle w:val="ListParagraph"/>
        <w:ind w:left="0"/>
        <w:jc w:val="left"/>
        <w:rPr>
          <w:rFonts w:ascii="Arial" w:hAnsi="Arial" w:cs="Arial"/>
        </w:rPr>
      </w:pPr>
      <w:r w:rsidRPr="00047B43">
        <w:rPr>
          <w:rFonts w:ascii="Arial" w:hAnsi="Arial" w:cs="Arial"/>
        </w:rPr>
        <w:t>The grounds and issues for this appeal as identified in the Notice of Appeal (Exhibit A.1) are as follows:</w:t>
      </w:r>
    </w:p>
    <w:p w:rsidR="007A69EA" w:rsidRDefault="007A69EA" w:rsidP="007A69EA">
      <w:pPr>
        <w:pStyle w:val="ListParagraph"/>
        <w:ind w:left="0"/>
        <w:jc w:val="left"/>
        <w:rPr>
          <w:rFonts w:ascii="Arial" w:hAnsi="Arial" w:cs="Arial"/>
        </w:rPr>
      </w:pPr>
    </w:p>
    <w:p w:rsidR="007A69EA" w:rsidRDefault="007A69EA" w:rsidP="007A69EA">
      <w:pPr>
        <w:pStyle w:val="ListParagraph"/>
        <w:spacing w:before="240"/>
        <w:ind w:left="0"/>
        <w:jc w:val="left"/>
        <w:rPr>
          <w:rFonts w:ascii="Arial" w:hAnsi="Arial" w:cs="Arial"/>
        </w:rPr>
      </w:pPr>
      <w:r>
        <w:rPr>
          <w:rFonts w:ascii="Arial" w:hAnsi="Arial" w:cs="Arial"/>
        </w:rPr>
        <w:t xml:space="preserve">“Suite #302 is in the same building, and has exactly the same floor plan and size as unites 202 and 402.  These units are located one above the other as indicated on page 1 of the attached information.  Unit #202 has a history of listings dating back to June 2013, and finally sold for $275,000 in 2016 in August.  Unit 402 sold in June 2016 for $290,000.  These sales were at arm’s length as described in the information provided and not </w:t>
      </w:r>
      <w:r>
        <w:rPr>
          <w:rFonts w:ascii="Arial" w:hAnsi="Arial" w:cs="Arial"/>
        </w:rPr>
        <w:lastRenderedPageBreak/>
        <w:t xml:space="preserve">liquidations due to cash flow.  I will assume that the market value condo #302 to be $282,500 which would place it midway between the selling prices of condos #202 and #402.  This would clearly demonstrate that the assessed value of the property has been set too high, as the assessed value should always be lower than the market value as per the submitted references.  This information demonstrates that the previous assessment of $361,500 was higher than the market value and seems to be an error of assessment that has a life of its own not in </w:t>
      </w:r>
      <w:proofErr w:type="spellStart"/>
      <w:r>
        <w:rPr>
          <w:rFonts w:ascii="Arial" w:hAnsi="Arial" w:cs="Arial"/>
        </w:rPr>
        <w:t>favour</w:t>
      </w:r>
      <w:proofErr w:type="spellEnd"/>
      <w:r>
        <w:rPr>
          <w:rFonts w:ascii="Arial" w:hAnsi="Arial" w:cs="Arial"/>
        </w:rPr>
        <w:t xml:space="preserve"> of the Appellant.</w:t>
      </w:r>
    </w:p>
    <w:p w:rsidR="007A69EA" w:rsidRDefault="007A69EA" w:rsidP="007A69EA">
      <w:pPr>
        <w:pStyle w:val="ListParagraph"/>
        <w:spacing w:before="240"/>
        <w:ind w:left="0"/>
        <w:jc w:val="left"/>
        <w:rPr>
          <w:rFonts w:ascii="Arial" w:hAnsi="Arial" w:cs="Arial"/>
        </w:rPr>
      </w:pPr>
    </w:p>
    <w:p w:rsidR="007A69EA" w:rsidRDefault="007A69EA" w:rsidP="007A69EA">
      <w:pPr>
        <w:pStyle w:val="ListParagraph"/>
        <w:spacing w:before="240"/>
        <w:ind w:left="0"/>
        <w:jc w:val="left"/>
        <w:rPr>
          <w:rFonts w:ascii="Arial" w:hAnsi="Arial" w:cs="Arial"/>
        </w:rPr>
      </w:pPr>
      <w:r>
        <w:rPr>
          <w:rFonts w:ascii="Arial" w:hAnsi="Arial" w:cs="Arial"/>
        </w:rPr>
        <w:t>The attached referenced articles which are readily available on line two from British Columbia, one from Ontario, and one from California show conclusively that the assessed value of a property is invariably lower than the market value, excluding exceptional circumstances.  These include non-arm’s length transactions and in cash flow situations fire sales etc.  None of these exceptions is applicable in this assessment. “</w:t>
      </w:r>
    </w:p>
    <w:p w:rsidR="0066557B" w:rsidRPr="00D66EB8" w:rsidRDefault="0066557B">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7A69EA" w:rsidRPr="007A69EA" w:rsidRDefault="007A69EA" w:rsidP="007A69EA">
      <w:pPr>
        <w:ind w:left="2160" w:hanging="2160"/>
        <w:rPr>
          <w:rFonts w:ascii="Arial" w:hAnsi="Arial" w:cs="Arial"/>
          <w:spacing w:val="-2"/>
          <w:sz w:val="24"/>
          <w:lang w:eastAsia="en-US"/>
        </w:rPr>
      </w:pPr>
      <w:r w:rsidRPr="007A69EA">
        <w:rPr>
          <w:rFonts w:ascii="Arial" w:hAnsi="Arial" w:cs="Arial"/>
          <w:spacing w:val="-2"/>
          <w:sz w:val="24"/>
          <w:lang w:eastAsia="en-US"/>
        </w:rPr>
        <w:t>Exhibit A.1:</w:t>
      </w:r>
      <w:r w:rsidRPr="007A69EA">
        <w:rPr>
          <w:rFonts w:ascii="Arial" w:hAnsi="Arial" w:cs="Arial"/>
          <w:spacing w:val="-2"/>
          <w:sz w:val="24"/>
          <w:lang w:eastAsia="en-US"/>
        </w:rPr>
        <w:tab/>
        <w:t>Notice of Appeal from Peter Coad, received February 13, 2017.</w:t>
      </w:r>
    </w:p>
    <w:p w:rsidR="007A69EA" w:rsidRPr="007A69EA" w:rsidRDefault="007A69EA" w:rsidP="007A69EA">
      <w:pPr>
        <w:ind w:left="2160" w:hanging="2160"/>
        <w:rPr>
          <w:rFonts w:ascii="Arial" w:hAnsi="Arial" w:cs="Arial"/>
          <w:spacing w:val="-2"/>
          <w:sz w:val="24"/>
          <w:lang w:eastAsia="en-US"/>
        </w:rPr>
      </w:pPr>
      <w:r w:rsidRPr="007A69EA">
        <w:rPr>
          <w:rFonts w:ascii="Arial" w:hAnsi="Arial" w:cs="Arial"/>
          <w:spacing w:val="-2"/>
          <w:sz w:val="24"/>
          <w:lang w:eastAsia="en-US"/>
        </w:rPr>
        <w:t>Exhibit R.1:</w:t>
      </w:r>
      <w:r w:rsidRPr="007A69EA">
        <w:rPr>
          <w:rFonts w:ascii="Arial" w:hAnsi="Arial" w:cs="Arial"/>
          <w:spacing w:val="-2"/>
          <w:sz w:val="24"/>
          <w:lang w:eastAsia="en-US"/>
        </w:rPr>
        <w:tab/>
        <w:t xml:space="preserve">Report submitted by the City Assessor titled “Residential Property High-Rise Condominium Appeal Response”, received May 4, 2017. </w:t>
      </w:r>
    </w:p>
    <w:p w:rsidR="007A69EA" w:rsidRPr="007A69EA" w:rsidRDefault="007A69EA" w:rsidP="007A69EA">
      <w:pPr>
        <w:ind w:left="2160" w:hanging="2160"/>
        <w:rPr>
          <w:rFonts w:ascii="Arial" w:hAnsi="Arial" w:cs="Arial"/>
          <w:spacing w:val="-2"/>
          <w:sz w:val="24"/>
          <w:lang w:eastAsia="en-US"/>
        </w:rPr>
      </w:pPr>
      <w:r w:rsidRPr="007A69EA">
        <w:rPr>
          <w:rFonts w:ascii="Arial" w:hAnsi="Arial" w:cs="Arial"/>
          <w:spacing w:val="-2"/>
          <w:sz w:val="24"/>
          <w:lang w:eastAsia="en-US"/>
        </w:rPr>
        <w:t>Exhibit C(R).1:</w:t>
      </w:r>
      <w:r>
        <w:rPr>
          <w:rFonts w:ascii="Arial" w:hAnsi="Arial" w:cs="Arial"/>
          <w:spacing w:val="-2"/>
          <w:sz w:val="24"/>
          <w:lang w:eastAsia="en-US"/>
        </w:rPr>
        <w:tab/>
      </w:r>
      <w:r w:rsidRPr="007A69EA">
        <w:rPr>
          <w:rFonts w:ascii="Arial" w:hAnsi="Arial" w:cs="Arial"/>
          <w:spacing w:val="-2"/>
          <w:sz w:val="24"/>
          <w:lang w:eastAsia="en-US"/>
        </w:rPr>
        <w:t>Confidential–submitted by the City Assessor titled “Confidential Appeal Response”, received May 4, 2017.</w:t>
      </w:r>
    </w:p>
    <w:p w:rsidR="007A69EA" w:rsidRPr="003A0188" w:rsidRDefault="007A69EA" w:rsidP="007A69EA">
      <w:pPr>
        <w:ind w:left="2160" w:hanging="2160"/>
        <w:rPr>
          <w:rFonts w:ascii="Arial" w:hAnsi="Arial" w:cs="Arial"/>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Default="0066557B">
      <w:pPr>
        <w:rPr>
          <w:rFonts w:ascii="Arial" w:hAnsi="Arial" w:cs="Arial"/>
          <w:b/>
          <w:sz w:val="24"/>
          <w:u w:val="single"/>
        </w:rPr>
      </w:pPr>
    </w:p>
    <w:p w:rsidR="00ED3692" w:rsidRDefault="00ED3692" w:rsidP="00ED3692">
      <w:pPr>
        <w:rPr>
          <w:rFonts w:ascii="Arial" w:hAnsi="Arial" w:cs="Arial"/>
          <w:sz w:val="24"/>
        </w:rPr>
      </w:pPr>
      <w:r>
        <w:rPr>
          <w:rFonts w:ascii="Arial" w:hAnsi="Arial" w:cs="Arial"/>
          <w:sz w:val="24"/>
        </w:rPr>
        <w:t>All giving testimony affirmed to tell the truth at the commencement of the hearings.</w:t>
      </w:r>
    </w:p>
    <w:p w:rsidR="00ED3692" w:rsidRDefault="00ED3692" w:rsidP="00ED3692">
      <w:pPr>
        <w:rPr>
          <w:rFonts w:ascii="Arial" w:hAnsi="Arial" w:cs="Arial"/>
          <w:sz w:val="24"/>
        </w:rPr>
      </w:pPr>
    </w:p>
    <w:p w:rsidR="0066557B" w:rsidRPr="00D66EB8" w:rsidRDefault="0066557B">
      <w:pPr>
        <w:rPr>
          <w:rFonts w:ascii="Arial" w:hAnsi="Arial" w:cs="Arial"/>
          <w:b/>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915B17" w:rsidRPr="00D66EB8" w:rsidRDefault="00915B17" w:rsidP="00915B17">
      <w:pPr>
        <w:rPr>
          <w:rFonts w:ascii="Arial" w:hAnsi="Arial" w:cs="Arial"/>
          <w:sz w:val="24"/>
          <w:u w:val="single"/>
        </w:rPr>
      </w:pPr>
      <w:r>
        <w:rPr>
          <w:rFonts w:ascii="Arial" w:hAnsi="Arial" w:cs="Arial"/>
          <w:sz w:val="24"/>
        </w:rPr>
        <w:t>For the reasons given in the Record of Decision dated May 25, 2017 the appeal is dismissed and the filing fee is retained.</w:t>
      </w:r>
    </w:p>
    <w:p w:rsidR="00915B17" w:rsidRPr="00D66EB8" w:rsidRDefault="00915B17" w:rsidP="00915B17">
      <w:pPr>
        <w:rPr>
          <w:rFonts w:ascii="Arial" w:hAnsi="Arial" w:cs="Arial"/>
          <w:sz w:val="24"/>
          <w:u w:val="single"/>
        </w:rPr>
      </w:pPr>
    </w:p>
    <w:p w:rsidR="00915B17" w:rsidRPr="00D66EB8" w:rsidRDefault="00915B17" w:rsidP="00915B17">
      <w:pPr>
        <w:rPr>
          <w:rFonts w:ascii="Arial" w:hAnsi="Arial" w:cs="Arial"/>
          <w:sz w:val="24"/>
        </w:rPr>
      </w:pPr>
      <w:r w:rsidRPr="00D66EB8">
        <w:rPr>
          <w:rFonts w:ascii="Arial" w:hAnsi="Arial" w:cs="Arial"/>
          <w:sz w:val="24"/>
        </w:rPr>
        <w:t xml:space="preserve">The hearings concluded at </w:t>
      </w:r>
      <w:r w:rsidR="00DE6467">
        <w:rPr>
          <w:rFonts w:ascii="Arial" w:hAnsi="Arial" w:cs="Arial"/>
          <w:sz w:val="24"/>
        </w:rPr>
        <w:t>2:06 p</w:t>
      </w:r>
      <w:r>
        <w:rPr>
          <w:rFonts w:ascii="Arial" w:hAnsi="Arial" w:cs="Arial"/>
          <w:sz w:val="24"/>
        </w:rPr>
        <w:t>.m.</w:t>
      </w:r>
    </w:p>
    <w:p w:rsidR="004F6FA1" w:rsidRPr="00D66EB8" w:rsidRDefault="004F6FA1">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A92001">
        <w:rPr>
          <w:rFonts w:ascii="Arial" w:hAnsi="Arial" w:cs="Arial"/>
          <w:sz w:val="24"/>
        </w:rPr>
        <w:t>May 15, 2017.</w:t>
      </w:r>
      <w:bookmarkStart w:id="0" w:name="_GoBack"/>
      <w:bookmarkEnd w:id="0"/>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4F6FA1">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DE6467">
    <w:pPr>
      <w:pStyle w:val="Header"/>
      <w:rPr>
        <w:rStyle w:val="PageNumber"/>
        <w:rFonts w:ascii="Arial" w:hAnsi="Arial" w:cs="Arial"/>
        <w:b/>
      </w:rPr>
    </w:pPr>
    <w:r>
      <w:rPr>
        <w:rStyle w:val="PageNumber"/>
        <w:rFonts w:ascii="Arial" w:hAnsi="Arial" w:cs="Arial"/>
        <w:b/>
      </w:rPr>
      <w:t>May 15,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8C3114">
      <w:rPr>
        <w:rStyle w:val="PageNumber"/>
        <w:rFonts w:ascii="Arial" w:hAnsi="Arial" w:cs="Arial"/>
        <w:b/>
      </w:rPr>
      <w:fldChar w:fldCharType="begin"/>
    </w:r>
    <w:r w:rsidRPr="008C3114">
      <w:rPr>
        <w:rStyle w:val="PageNumber"/>
        <w:rFonts w:ascii="Arial" w:hAnsi="Arial" w:cs="Arial"/>
        <w:b/>
      </w:rPr>
      <w:instrText xml:space="preserve"> PAGE </w:instrText>
    </w:r>
    <w:r w:rsidRPr="008C3114">
      <w:rPr>
        <w:rStyle w:val="PageNumber"/>
        <w:rFonts w:ascii="Arial" w:hAnsi="Arial" w:cs="Arial"/>
        <w:b/>
      </w:rPr>
      <w:fldChar w:fldCharType="separate"/>
    </w:r>
    <w:r w:rsidR="00A92001">
      <w:rPr>
        <w:rStyle w:val="PageNumber"/>
        <w:rFonts w:ascii="Arial" w:hAnsi="Arial" w:cs="Arial"/>
        <w:b/>
        <w:noProof/>
      </w:rPr>
      <w:t>2</w:t>
    </w:r>
    <w:r w:rsidRPr="008C3114">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22E005D"/>
    <w:multiLevelType w:val="hybridMultilevel"/>
    <w:tmpl w:val="2C54F9E2"/>
    <w:lvl w:ilvl="0" w:tplc="871CC37E">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DD2376"/>
    <w:multiLevelType w:val="hybridMultilevel"/>
    <w:tmpl w:val="285CC9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E0534"/>
    <w:rsid w:val="000E528A"/>
    <w:rsid w:val="00102E5D"/>
    <w:rsid w:val="00125C1F"/>
    <w:rsid w:val="00171F26"/>
    <w:rsid w:val="001B5FF5"/>
    <w:rsid w:val="001E1DEA"/>
    <w:rsid w:val="001F3C18"/>
    <w:rsid w:val="002776A4"/>
    <w:rsid w:val="002C1D0B"/>
    <w:rsid w:val="002E3F13"/>
    <w:rsid w:val="00333E17"/>
    <w:rsid w:val="00372163"/>
    <w:rsid w:val="00380813"/>
    <w:rsid w:val="003E3477"/>
    <w:rsid w:val="00403327"/>
    <w:rsid w:val="00497D2E"/>
    <w:rsid w:val="004F68B7"/>
    <w:rsid w:val="004F6FA1"/>
    <w:rsid w:val="005147EE"/>
    <w:rsid w:val="00645F30"/>
    <w:rsid w:val="0066557B"/>
    <w:rsid w:val="007A69EA"/>
    <w:rsid w:val="007B6424"/>
    <w:rsid w:val="007E7B90"/>
    <w:rsid w:val="008031F5"/>
    <w:rsid w:val="0082634C"/>
    <w:rsid w:val="008302C8"/>
    <w:rsid w:val="00846639"/>
    <w:rsid w:val="008526A8"/>
    <w:rsid w:val="008823E2"/>
    <w:rsid w:val="008B7799"/>
    <w:rsid w:val="008C3114"/>
    <w:rsid w:val="00915B17"/>
    <w:rsid w:val="009421C9"/>
    <w:rsid w:val="009A1F77"/>
    <w:rsid w:val="00A15731"/>
    <w:rsid w:val="00A92001"/>
    <w:rsid w:val="00B17137"/>
    <w:rsid w:val="00B72B65"/>
    <w:rsid w:val="00B83825"/>
    <w:rsid w:val="00BC6A82"/>
    <w:rsid w:val="00BE4E31"/>
    <w:rsid w:val="00C11D5F"/>
    <w:rsid w:val="00C63171"/>
    <w:rsid w:val="00C91452"/>
    <w:rsid w:val="00CB49FC"/>
    <w:rsid w:val="00D113D6"/>
    <w:rsid w:val="00D13349"/>
    <w:rsid w:val="00D66EB8"/>
    <w:rsid w:val="00D74709"/>
    <w:rsid w:val="00DE6467"/>
    <w:rsid w:val="00E66097"/>
    <w:rsid w:val="00E97C62"/>
    <w:rsid w:val="00ED0C37"/>
    <w:rsid w:val="00ED3692"/>
    <w:rsid w:val="00F01796"/>
    <w:rsid w:val="00F0410D"/>
    <w:rsid w:val="00F12ACA"/>
    <w:rsid w:val="00F414B1"/>
    <w:rsid w:val="00F570E7"/>
    <w:rsid w:val="00F63BE2"/>
    <w:rsid w:val="00F97368"/>
    <w:rsid w:val="00FB2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ListParagraph">
    <w:name w:val="List Paragraph"/>
    <w:basedOn w:val="Normal"/>
    <w:uiPriority w:val="34"/>
    <w:qFormat/>
    <w:rsid w:val="00BE4E31"/>
    <w:pPr>
      <w:ind w:left="720"/>
      <w:contextualSpacing/>
      <w:jc w:val="both"/>
    </w:pPr>
    <w:rPr>
      <w:spacing w:val="-2"/>
      <w:sz w:val="24"/>
      <w:lang w:eastAsia="en-US"/>
    </w:rPr>
  </w:style>
  <w:style w:type="paragraph" w:customStyle="1" w:styleId="BodyA">
    <w:name w:val="Body A"/>
    <w:rsid w:val="00F63BE2"/>
    <w:pPr>
      <w:pBdr>
        <w:top w:val="nil"/>
        <w:left w:val="nil"/>
        <w:bottom w:val="nil"/>
        <w:right w:val="nil"/>
        <w:between w:val="nil"/>
        <w:bar w:val="nil"/>
      </w:pBdr>
    </w:pPr>
    <w:rPr>
      <w:color w:val="000000"/>
      <w:sz w:val="24"/>
      <w:szCs w:val="24"/>
      <w:u w:color="000000"/>
      <w:bdr w:val="nil"/>
      <w:lang w:val="en-US"/>
    </w:rPr>
  </w:style>
  <w:style w:type="paragraph" w:customStyle="1" w:styleId="BodyAA">
    <w:name w:val="Body A A"/>
    <w:rsid w:val="00F63BE2"/>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customStyle="1" w:styleId="Body">
    <w:name w:val="Body"/>
    <w:basedOn w:val="Normal"/>
    <w:rsid w:val="00F63BE2"/>
    <w:pPr>
      <w:overflowPunct/>
      <w:autoSpaceDE/>
      <w:autoSpaceDN/>
      <w:adjustRightInd/>
      <w:jc w:val="both"/>
      <w:textAlignment w:val="auto"/>
    </w:pPr>
    <w:rPr>
      <w:rFonts w:ascii="Arial" w:eastAsia="Calibri" w:hAnsi="Arial"/>
      <w:color w:val="000000"/>
      <w:spacing w:val="-2"/>
      <w:sz w:val="24"/>
      <w:szCs w:val="24"/>
      <w:lang w:val="en-CA"/>
    </w:rPr>
  </w:style>
  <w:style w:type="paragraph" w:customStyle="1" w:styleId="BodyAAA">
    <w:name w:val="Body A A A"/>
    <w:rsid w:val="00F63BE2"/>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553</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10</cp:revision>
  <cp:lastPrinted>2001-02-21T15:14:00Z</cp:lastPrinted>
  <dcterms:created xsi:type="dcterms:W3CDTF">2017-06-13T19:36:00Z</dcterms:created>
  <dcterms:modified xsi:type="dcterms:W3CDTF">2017-08-18T17:28:00Z</dcterms:modified>
</cp:coreProperties>
</file>